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FA" w:rsidRDefault="0029470E" w:rsidP="000313FA">
      <w:pPr>
        <w:widowControl/>
        <w:shd w:val="clear" w:color="auto" w:fill="FFFFFF"/>
        <w:spacing w:after="210"/>
        <w:ind w:firstLineChars="200" w:firstLine="692"/>
        <w:jc w:val="left"/>
        <w:outlineLvl w:val="1"/>
        <w:rPr>
          <w:rFonts w:ascii="微软雅黑" w:eastAsia="微软雅黑" w:hAnsi="微软雅黑" w:cs="宋体" w:hint="eastAsia"/>
          <w:color w:val="333333"/>
          <w:spacing w:val="8"/>
          <w:kern w:val="0"/>
          <w:sz w:val="33"/>
          <w:szCs w:val="33"/>
        </w:rPr>
      </w:pPr>
      <w:r w:rsidRPr="0029470E">
        <w:rPr>
          <w:rFonts w:ascii="微软雅黑" w:eastAsia="微软雅黑" w:hAnsi="微软雅黑" w:cs="宋体" w:hint="eastAsia"/>
          <w:color w:val="333333"/>
          <w:spacing w:val="8"/>
          <w:kern w:val="0"/>
          <w:sz w:val="33"/>
          <w:szCs w:val="33"/>
        </w:rPr>
        <w:t>喜讯！长江源青海沱沱河地区新发现总价值超2000亿铅锌矿床</w:t>
      </w:r>
    </w:p>
    <w:p w:rsidR="0029470E" w:rsidRPr="000313FA" w:rsidRDefault="00CB7419" w:rsidP="000313FA">
      <w:pPr>
        <w:widowControl/>
        <w:shd w:val="clear" w:color="auto" w:fill="FFFFFF"/>
        <w:spacing w:after="210"/>
        <w:ind w:firstLineChars="200" w:firstLine="420"/>
        <w:jc w:val="left"/>
        <w:outlineLvl w:val="1"/>
        <w:rPr>
          <w:rFonts w:ascii="微软雅黑" w:eastAsia="微软雅黑" w:hAnsi="微软雅黑" w:cs="宋体"/>
          <w:color w:val="333333"/>
          <w:spacing w:val="8"/>
          <w:kern w:val="0"/>
          <w:sz w:val="24"/>
        </w:rPr>
      </w:pPr>
      <w:hyperlink r:id="rId7" w:history="1">
        <w:r w:rsidR="0029470E" w:rsidRPr="0029470E">
          <w:rPr>
            <w:rFonts w:ascii="微软雅黑" w:eastAsia="微软雅黑" w:hAnsi="微软雅黑" w:cs="宋体" w:hint="eastAsia"/>
            <w:color w:val="576B95"/>
            <w:spacing w:val="8"/>
            <w:kern w:val="0"/>
            <w:sz w:val="23"/>
            <w:szCs w:val="23"/>
          </w:rPr>
          <w:t>矿业汇</w:t>
        </w:r>
      </w:hyperlink>
      <w:r w:rsidR="0029470E" w:rsidRPr="0029470E">
        <w:rPr>
          <w:rFonts w:ascii="微软雅黑" w:eastAsia="微软雅黑" w:hAnsi="微软雅黑" w:cs="宋体" w:hint="eastAsia"/>
          <w:color w:val="333333"/>
          <w:spacing w:val="8"/>
          <w:kern w:val="0"/>
          <w:sz w:val="2"/>
          <w:szCs w:val="2"/>
        </w:rPr>
        <w:t> </w:t>
      </w:r>
      <w:r w:rsidR="0029470E" w:rsidRPr="0029470E">
        <w:rPr>
          <w:rFonts w:ascii="微软雅黑" w:eastAsia="微软雅黑" w:hAnsi="微软雅黑" w:cs="宋体" w:hint="eastAsia"/>
          <w:color w:val="333333"/>
          <w:spacing w:val="8"/>
          <w:kern w:val="0"/>
          <w:sz w:val="23"/>
          <w:szCs w:val="23"/>
        </w:rPr>
        <w:t>2018-06-20</w:t>
      </w:r>
      <w:r w:rsidR="0029470E" w:rsidRPr="0029470E">
        <w:rPr>
          <w:rFonts w:ascii="微软雅黑" w:eastAsia="微软雅黑" w:hAnsi="微软雅黑" w:cs="宋体"/>
          <w:noProof/>
          <w:color w:val="333333"/>
          <w:spacing w:val="8"/>
          <w:kern w:val="0"/>
          <w:sz w:val="26"/>
          <w:szCs w:val="26"/>
        </w:rPr>
        <mc:AlternateContent>
          <mc:Choice Requires="wps">
            <w:drawing>
              <wp:inline distT="0" distB="0" distL="0" distR="0" wp14:anchorId="775DBC32" wp14:editId="6209C5F2">
                <wp:extent cx="304800" cy="304800"/>
                <wp:effectExtent l="0" t="0" r="0" b="0"/>
                <wp:docPr id="2" name="AutoShape 1" descr="https://mmbiz.qpic.cn/mmbiz/wZGSfQo7Wqh3tIjmt9NDAXtZNicoJZ2u2zeEm8ArjS8G9c4wNB20YR9Ikwybb8UVGhedGxNIeD2K15s8Tiaygg3Q/640?wx_fmt=gif&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说明: https://mmbiz.qpic.cn/mmbiz/wZGSfQo7Wqh3tIjmt9NDAXtZNicoJZ2u2zeEm8ArjS8G9c4wNB20YR9Ikwybb8UVGhedGxNIeD2K15s8Tiaygg3Q/640?wx_fmt=gif&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z02WnkMDAABqBgAADgAAAAAAAAAAAAAAAAAuAgAAZHJzL2Uyb0RvYy54bWxQ&#10;SwECLQAUAAYACAAAACEATKDpLNgAAAADAQAADwAAAAAAAAAAAAAAAACdBQAAZHJzL2Rvd25yZXYu&#10;eG1sUEsFBgAAAAAEAAQA8wAAAKIGAAAAAA==&#10;" filled="f" stroked="f">
                <o:lock v:ext="edit" aspectratio="t"/>
                <w10:anchorlock/>
              </v:rect>
            </w:pict>
          </mc:Fallback>
        </mc:AlternateContent>
      </w:r>
      <w:r w:rsidR="007A1040">
        <w:rPr>
          <w:rFonts w:ascii="微软雅黑" w:eastAsia="微软雅黑" w:hAnsi="微软雅黑" w:cs="宋体"/>
          <w:noProof/>
          <w:color w:val="333333"/>
          <w:spacing w:val="8"/>
          <w:kern w:val="0"/>
          <w:sz w:val="26"/>
          <w:szCs w:val="26"/>
        </w:rPr>
        <w:drawing>
          <wp:inline distT="0" distB="0" distL="0" distR="0" wp14:anchorId="2BFBB174" wp14:editId="71D36F20">
            <wp:extent cx="5274310" cy="2965334"/>
            <wp:effectExtent l="0" t="0" r="2540" b="6985"/>
            <wp:docPr id="3" name="图片 3" descr="F:\立福\公司网页\19年网\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立福\公司网页\19年网\照片.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65334"/>
                    </a:xfrm>
                    <a:prstGeom prst="rect">
                      <a:avLst/>
                    </a:prstGeom>
                    <a:noFill/>
                    <a:ln>
                      <a:noFill/>
                    </a:ln>
                  </pic:spPr>
                </pic:pic>
              </a:graphicData>
            </a:graphic>
          </wp:inline>
        </w:drawing>
      </w:r>
      <w:r w:rsidR="0029470E" w:rsidRPr="0029470E">
        <w:rPr>
          <w:rFonts w:ascii="微软雅黑" w:eastAsia="微软雅黑" w:hAnsi="微软雅黑" w:cs="宋体"/>
          <w:noProof/>
          <w:color w:val="333333"/>
          <w:spacing w:val="8"/>
          <w:kern w:val="0"/>
          <w:sz w:val="26"/>
          <w:szCs w:val="26"/>
        </w:rPr>
        <mc:AlternateContent>
          <mc:Choice Requires="wps">
            <w:drawing>
              <wp:inline distT="0" distB="0" distL="0" distR="0" wp14:anchorId="575B2379" wp14:editId="5E6CB4BE">
                <wp:extent cx="304800" cy="304800"/>
                <wp:effectExtent l="0" t="0" r="0" b="0"/>
                <wp:docPr id="1" name="AutoShape 2" descr="https://mmbiz.qpic.cn/mmbiz_jpg/8ZNbD9nkuaBrE38r3Wf7KwwG9F2CialkHaIHK5CDmNh7tg6Mic8AlRoCO2snRmRWF8KfDib6UxAPegW7RDXr2ichy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说明: https://mmbiz.qpic.cn/mmbiz_jpg/8ZNbD9nkuaBrE38r3Wf7KwwG9F2CialkHaIHK5CDmNh7tg6Mic8AlRoCO2snRmRWF8KfDib6UxAPegW7RDXr2ichy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GXtPpKAwAAfQYAAA4AAAAAAAAAAAAAAAAALgIAAGRycy9lMm9E&#10;b2MueG1sUEsBAi0AFAAGAAgAAAAhAEyg6SzYAAAAAwEAAA8AAAAAAAAAAAAAAAAApAUAAGRycy9k&#10;b3ducmV2LnhtbFBLBQYAAAAABAAEAPMAAACpBgAAAAA=&#10;" filled="f" stroked="f">
                <o:lock v:ext="edit" aspectratio="t"/>
                <w10:anchorlock/>
              </v:rect>
            </w:pict>
          </mc:Fallback>
        </mc:AlternateContent>
      </w:r>
      <w:r w:rsidR="0029470E" w:rsidRPr="000313FA">
        <w:rPr>
          <w:rFonts w:ascii="宋体" w:hAnsi="宋体" w:cs="宋体" w:hint="eastAsia"/>
          <w:color w:val="333333"/>
          <w:kern w:val="0"/>
          <w:sz w:val="24"/>
        </w:rPr>
        <w:t>央广网西宁6月20日消息（记者张雷 西宁晚报记者张弘靓）记者昨天从青海省地矿局了解到，长江源沱沱河地区新增铅锌银金属资源储量超过千万吨，按大型矿床国家标准，相当于新发现20个大型铅锌矿。</w:t>
      </w:r>
    </w:p>
    <w:p w:rsidR="0029470E" w:rsidRPr="000313FA" w:rsidRDefault="0029470E" w:rsidP="000313FA">
      <w:pPr>
        <w:widowControl/>
        <w:shd w:val="clear" w:color="auto" w:fill="FFFFFF"/>
        <w:rPr>
          <w:rFonts w:ascii="微软雅黑" w:eastAsia="微软雅黑" w:hAnsi="微软雅黑" w:cs="宋体"/>
          <w:color w:val="333333"/>
          <w:spacing w:val="8"/>
          <w:kern w:val="0"/>
          <w:sz w:val="24"/>
        </w:rPr>
      </w:pPr>
      <w:r w:rsidRPr="000313FA">
        <w:rPr>
          <w:rFonts w:ascii="宋体" w:hAnsi="宋体" w:cs="宋体" w:hint="eastAsia"/>
          <w:color w:val="333333"/>
          <w:kern w:val="0"/>
          <w:sz w:val="24"/>
        </w:rPr>
        <w:t> </w:t>
      </w:r>
      <w:r w:rsidR="000313FA">
        <w:rPr>
          <w:rFonts w:ascii="宋体" w:hAnsi="宋体" w:cs="宋体" w:hint="eastAsia"/>
          <w:color w:val="333333"/>
          <w:kern w:val="0"/>
          <w:sz w:val="24"/>
        </w:rPr>
        <w:t xml:space="preserve">   </w:t>
      </w:r>
      <w:r w:rsidRPr="000313FA">
        <w:rPr>
          <w:rFonts w:ascii="宋体" w:hAnsi="宋体" w:cs="宋体" w:hint="eastAsia"/>
          <w:color w:val="333333"/>
          <w:kern w:val="0"/>
          <w:sz w:val="24"/>
        </w:rPr>
        <w:t>专家采用潜在价值法进行概略性评价，沱沱河地区内铅锌银总价值超2000亿元。对于促进地方经济发展、改善民生，带动相关产业的发展具有十分重要的意义，也为国家西部大开发战略实施提供了资源保障。</w:t>
      </w:r>
    </w:p>
    <w:p w:rsidR="0029470E" w:rsidRPr="000313FA" w:rsidRDefault="0029470E" w:rsidP="0029470E">
      <w:pPr>
        <w:widowControl/>
        <w:shd w:val="clear" w:color="auto" w:fill="FFFFFF"/>
        <w:rPr>
          <w:rFonts w:ascii="微软雅黑" w:eastAsia="微软雅黑" w:hAnsi="微软雅黑" w:cs="宋体"/>
          <w:color w:val="333333"/>
          <w:spacing w:val="8"/>
          <w:kern w:val="0"/>
          <w:sz w:val="24"/>
        </w:rPr>
      </w:pPr>
      <w:r w:rsidRPr="000313FA">
        <w:rPr>
          <w:rFonts w:ascii="宋体" w:hAnsi="宋体" w:cs="宋体" w:hint="eastAsia"/>
          <w:color w:val="333333"/>
          <w:kern w:val="0"/>
          <w:sz w:val="24"/>
        </w:rPr>
        <w:t> </w:t>
      </w:r>
    </w:p>
    <w:p w:rsidR="0029470E" w:rsidRPr="000313FA" w:rsidRDefault="0029470E" w:rsidP="000313FA">
      <w:pPr>
        <w:widowControl/>
        <w:shd w:val="clear" w:color="auto" w:fill="FFFFFF"/>
        <w:ind w:firstLineChars="200" w:firstLine="480"/>
        <w:rPr>
          <w:rFonts w:ascii="微软雅黑" w:eastAsia="微软雅黑" w:hAnsi="微软雅黑" w:cs="宋体"/>
          <w:color w:val="333333"/>
          <w:spacing w:val="8"/>
          <w:kern w:val="0"/>
          <w:sz w:val="24"/>
        </w:rPr>
      </w:pPr>
      <w:r w:rsidRPr="000313FA">
        <w:rPr>
          <w:rFonts w:ascii="宋体" w:hAnsi="宋体" w:cs="宋体" w:hint="eastAsia"/>
          <w:color w:val="333333"/>
          <w:kern w:val="0"/>
          <w:sz w:val="24"/>
        </w:rPr>
        <w:t>沱沱河地区矿床发现后，青海省组织开展了多种形式的技术研讨会，进行了科技攻关。并确定多才玛铅锌矿为浅成中低温热液脉型矿床，形成于印度欧亚板块碰撞后伸展环境，成矿时代为喜山期，建立了成矿模式，揭示了沱沱河地区铅锌成矿规律。</w:t>
      </w:r>
    </w:p>
    <w:p w:rsidR="0029470E" w:rsidRPr="000313FA" w:rsidRDefault="0029470E" w:rsidP="0029470E">
      <w:pPr>
        <w:widowControl/>
        <w:shd w:val="clear" w:color="auto" w:fill="FFFFFF"/>
        <w:rPr>
          <w:rFonts w:ascii="微软雅黑" w:eastAsia="微软雅黑" w:hAnsi="微软雅黑" w:cs="宋体"/>
          <w:color w:val="333333"/>
          <w:spacing w:val="8"/>
          <w:kern w:val="0"/>
          <w:sz w:val="24"/>
        </w:rPr>
      </w:pPr>
      <w:r w:rsidRPr="000313FA">
        <w:rPr>
          <w:rFonts w:ascii="宋体" w:hAnsi="宋体" w:cs="宋体" w:hint="eastAsia"/>
          <w:color w:val="333333"/>
          <w:kern w:val="0"/>
          <w:sz w:val="24"/>
        </w:rPr>
        <w:t> </w:t>
      </w:r>
    </w:p>
    <w:p w:rsidR="0029470E" w:rsidRPr="000313FA" w:rsidRDefault="0029470E" w:rsidP="000313FA">
      <w:pPr>
        <w:widowControl/>
        <w:shd w:val="clear" w:color="auto" w:fill="FFFFFF"/>
        <w:ind w:firstLineChars="200" w:firstLine="482"/>
        <w:rPr>
          <w:rFonts w:ascii="微软雅黑" w:eastAsia="微软雅黑" w:hAnsi="微软雅黑" w:cs="宋体"/>
          <w:color w:val="333333"/>
          <w:spacing w:val="8"/>
          <w:kern w:val="0"/>
          <w:sz w:val="24"/>
        </w:rPr>
      </w:pPr>
      <w:r w:rsidRPr="000313FA">
        <w:rPr>
          <w:rFonts w:ascii="宋体" w:hAnsi="宋体" w:cs="宋体" w:hint="eastAsia"/>
          <w:b/>
          <w:color w:val="333333"/>
          <w:kern w:val="0"/>
          <w:sz w:val="24"/>
        </w:rPr>
        <w:t>专家通过研发适用于高寒永冻层区寻找铅锌矿的最佳勘查技术方法组合，首次解决了高寒冻土区寻找铅锌矿的难题。</w:t>
      </w:r>
      <w:r w:rsidRPr="000313FA">
        <w:rPr>
          <w:rFonts w:ascii="宋体" w:hAnsi="宋体" w:cs="宋体" w:hint="eastAsia"/>
          <w:b/>
          <w:color w:val="FF0000"/>
          <w:kern w:val="0"/>
          <w:sz w:val="24"/>
        </w:rPr>
        <w:t>通过创立“1/5万水系沉积物测量+土壤测量+相位激电测量+工程验证”的最佳勘查技术方法组合，高效、快速平均了矿床。</w:t>
      </w:r>
      <w:r w:rsidRPr="000313FA">
        <w:rPr>
          <w:rFonts w:ascii="宋体" w:hAnsi="宋体" w:cs="宋体" w:hint="eastAsia"/>
          <w:color w:val="333333"/>
          <w:kern w:val="0"/>
          <w:sz w:val="24"/>
        </w:rPr>
        <w:t>利用上述理论和勘查技术方法组合，首次在沱沱河地区发现了超大型铅锌矿床——多才玛铅锌矿，提交铅锌银金属资源储量620.82万吨，其中铅489.29万吨，锌131.33万吨，银2039吨，控制资源储量780万吨。经专家委员会鉴定，该项目达到国际领先水平。</w:t>
      </w:r>
    </w:p>
    <w:p w:rsidR="0029470E" w:rsidRPr="000313FA" w:rsidRDefault="0029470E" w:rsidP="0029470E">
      <w:pPr>
        <w:widowControl/>
        <w:shd w:val="clear" w:color="auto" w:fill="FFFFFF"/>
        <w:rPr>
          <w:rFonts w:ascii="微软雅黑" w:eastAsia="微软雅黑" w:hAnsi="微软雅黑" w:cs="宋体"/>
          <w:color w:val="333333"/>
          <w:spacing w:val="8"/>
          <w:kern w:val="0"/>
          <w:sz w:val="24"/>
        </w:rPr>
      </w:pPr>
      <w:r w:rsidRPr="000313FA">
        <w:rPr>
          <w:rFonts w:ascii="宋体" w:hAnsi="宋体" w:cs="宋体" w:hint="eastAsia"/>
          <w:color w:val="333333"/>
          <w:kern w:val="0"/>
          <w:sz w:val="24"/>
        </w:rPr>
        <w:t> </w:t>
      </w:r>
    </w:p>
    <w:p w:rsidR="0029470E" w:rsidRPr="000313FA" w:rsidRDefault="0029470E" w:rsidP="000313FA">
      <w:pPr>
        <w:widowControl/>
        <w:shd w:val="clear" w:color="auto" w:fill="FFFFFF"/>
        <w:ind w:firstLineChars="200" w:firstLine="480"/>
        <w:rPr>
          <w:rFonts w:ascii="微软雅黑" w:eastAsia="微软雅黑" w:hAnsi="微软雅黑" w:cs="宋体"/>
          <w:color w:val="333333"/>
          <w:spacing w:val="8"/>
          <w:kern w:val="0"/>
          <w:sz w:val="24"/>
        </w:rPr>
      </w:pPr>
      <w:r w:rsidRPr="000313FA">
        <w:rPr>
          <w:rFonts w:ascii="宋体" w:hAnsi="宋体" w:cs="宋体" w:hint="eastAsia"/>
          <w:color w:val="333333"/>
          <w:kern w:val="0"/>
          <w:sz w:val="24"/>
        </w:rPr>
        <w:t>通过借鉴多才玛的找矿成功经验，青海省在沱沱河地区相继部署了一大批寻找铅锌矿的项目，相继发现了楚多曲中型铅锌矿、巴斯湖中型铅锌矿、宗陇巴中型锌矿、江仓南等多处铅锌矿床点，目前区域铅锌资源总量超千万吨，同时理论研究也取得了丰硕的成果，区域找矿成果非常明显。</w:t>
      </w:r>
    </w:p>
    <w:p w:rsidR="0029470E" w:rsidRPr="000313FA" w:rsidRDefault="0029470E" w:rsidP="0029470E">
      <w:pPr>
        <w:widowControl/>
        <w:shd w:val="clear" w:color="auto" w:fill="FFFFFF"/>
        <w:rPr>
          <w:rFonts w:ascii="微软雅黑" w:eastAsia="微软雅黑" w:hAnsi="微软雅黑" w:cs="宋体"/>
          <w:color w:val="333333"/>
          <w:spacing w:val="8"/>
          <w:kern w:val="0"/>
          <w:sz w:val="24"/>
        </w:rPr>
      </w:pPr>
      <w:r w:rsidRPr="000313FA">
        <w:rPr>
          <w:rFonts w:ascii="宋体" w:hAnsi="宋体" w:cs="宋体" w:hint="eastAsia"/>
          <w:color w:val="333333"/>
          <w:kern w:val="0"/>
          <w:sz w:val="24"/>
        </w:rPr>
        <w:t> </w:t>
      </w:r>
    </w:p>
    <w:p w:rsidR="00E31D20" w:rsidRPr="0029470E" w:rsidRDefault="0029470E" w:rsidP="0013240B">
      <w:pPr>
        <w:widowControl/>
        <w:shd w:val="clear" w:color="auto" w:fill="FFFFFF"/>
        <w:ind w:firstLineChars="200" w:firstLine="480"/>
      </w:pPr>
      <w:r w:rsidRPr="000313FA">
        <w:rPr>
          <w:rFonts w:ascii="宋体" w:hAnsi="宋体" w:cs="宋体" w:hint="eastAsia"/>
          <w:color w:val="333333"/>
          <w:kern w:val="0"/>
          <w:sz w:val="24"/>
        </w:rPr>
        <w:t>目前，沱沱河地区已发现3个超大型矿床以及一大批中小型矿床，区域铅锌银资源总量已超千万吨，一个国家级铅锌资源战略储备基地初步成形。 </w:t>
      </w:r>
      <w:bookmarkStart w:id="0" w:name="_GoBack"/>
      <w:bookmarkEnd w:id="0"/>
    </w:p>
    <w:sectPr w:rsidR="00E31D20" w:rsidRPr="0029470E" w:rsidSect="0013240B">
      <w:pgSz w:w="11906" w:h="16838"/>
      <w:pgMar w:top="284" w:right="1800" w:bottom="28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419" w:rsidRDefault="00CB7419" w:rsidP="007A1040">
      <w:r>
        <w:separator/>
      </w:r>
    </w:p>
  </w:endnote>
  <w:endnote w:type="continuationSeparator" w:id="0">
    <w:p w:rsidR="00CB7419" w:rsidRDefault="00CB7419" w:rsidP="007A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419" w:rsidRDefault="00CB7419" w:rsidP="007A1040">
      <w:r>
        <w:separator/>
      </w:r>
    </w:p>
  </w:footnote>
  <w:footnote w:type="continuationSeparator" w:id="0">
    <w:p w:rsidR="00CB7419" w:rsidRDefault="00CB7419" w:rsidP="007A1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70E"/>
    <w:rsid w:val="000313FA"/>
    <w:rsid w:val="00066B25"/>
    <w:rsid w:val="0013240B"/>
    <w:rsid w:val="0029470E"/>
    <w:rsid w:val="00567177"/>
    <w:rsid w:val="00713D46"/>
    <w:rsid w:val="007A1040"/>
    <w:rsid w:val="00CB7419"/>
    <w:rsid w:val="00CC25CD"/>
    <w:rsid w:val="00E31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A1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A1040"/>
    <w:rPr>
      <w:kern w:val="2"/>
      <w:sz w:val="18"/>
      <w:szCs w:val="18"/>
    </w:rPr>
  </w:style>
  <w:style w:type="paragraph" w:styleId="a4">
    <w:name w:val="footer"/>
    <w:basedOn w:val="a"/>
    <w:link w:val="Char0"/>
    <w:rsid w:val="007A1040"/>
    <w:pPr>
      <w:tabs>
        <w:tab w:val="center" w:pos="4153"/>
        <w:tab w:val="right" w:pos="8306"/>
      </w:tabs>
      <w:snapToGrid w:val="0"/>
      <w:jc w:val="left"/>
    </w:pPr>
    <w:rPr>
      <w:sz w:val="18"/>
      <w:szCs w:val="18"/>
    </w:rPr>
  </w:style>
  <w:style w:type="character" w:customStyle="1" w:styleId="Char0">
    <w:name w:val="页脚 Char"/>
    <w:basedOn w:val="a0"/>
    <w:link w:val="a4"/>
    <w:rsid w:val="007A1040"/>
    <w:rPr>
      <w:kern w:val="2"/>
      <w:sz w:val="18"/>
      <w:szCs w:val="18"/>
    </w:rPr>
  </w:style>
  <w:style w:type="paragraph" w:styleId="a5">
    <w:name w:val="Balloon Text"/>
    <w:basedOn w:val="a"/>
    <w:link w:val="Char1"/>
    <w:rsid w:val="007A1040"/>
    <w:rPr>
      <w:sz w:val="18"/>
      <w:szCs w:val="18"/>
    </w:rPr>
  </w:style>
  <w:style w:type="character" w:customStyle="1" w:styleId="Char1">
    <w:name w:val="批注框文本 Char"/>
    <w:basedOn w:val="a0"/>
    <w:link w:val="a5"/>
    <w:rsid w:val="007A104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A1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A1040"/>
    <w:rPr>
      <w:kern w:val="2"/>
      <w:sz w:val="18"/>
      <w:szCs w:val="18"/>
    </w:rPr>
  </w:style>
  <w:style w:type="paragraph" w:styleId="a4">
    <w:name w:val="footer"/>
    <w:basedOn w:val="a"/>
    <w:link w:val="Char0"/>
    <w:rsid w:val="007A1040"/>
    <w:pPr>
      <w:tabs>
        <w:tab w:val="center" w:pos="4153"/>
        <w:tab w:val="right" w:pos="8306"/>
      </w:tabs>
      <w:snapToGrid w:val="0"/>
      <w:jc w:val="left"/>
    </w:pPr>
    <w:rPr>
      <w:sz w:val="18"/>
      <w:szCs w:val="18"/>
    </w:rPr>
  </w:style>
  <w:style w:type="character" w:customStyle="1" w:styleId="Char0">
    <w:name w:val="页脚 Char"/>
    <w:basedOn w:val="a0"/>
    <w:link w:val="a4"/>
    <w:rsid w:val="007A1040"/>
    <w:rPr>
      <w:kern w:val="2"/>
      <w:sz w:val="18"/>
      <w:szCs w:val="18"/>
    </w:rPr>
  </w:style>
  <w:style w:type="paragraph" w:styleId="a5">
    <w:name w:val="Balloon Text"/>
    <w:basedOn w:val="a"/>
    <w:link w:val="Char1"/>
    <w:rsid w:val="007A1040"/>
    <w:rPr>
      <w:sz w:val="18"/>
      <w:szCs w:val="18"/>
    </w:rPr>
  </w:style>
  <w:style w:type="character" w:customStyle="1" w:styleId="Char1">
    <w:name w:val="批注框文本 Char"/>
    <w:basedOn w:val="a0"/>
    <w:link w:val="a5"/>
    <w:rsid w:val="007A10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014730">
      <w:bodyDiv w:val="1"/>
      <w:marLeft w:val="0"/>
      <w:marRight w:val="0"/>
      <w:marTop w:val="0"/>
      <w:marBottom w:val="0"/>
      <w:divBdr>
        <w:top w:val="none" w:sz="0" w:space="0" w:color="auto"/>
        <w:left w:val="none" w:sz="0" w:space="0" w:color="auto"/>
        <w:bottom w:val="none" w:sz="0" w:space="0" w:color="auto"/>
        <w:right w:val="none" w:sz="0" w:space="0" w:color="auto"/>
      </w:divBdr>
      <w:divsChild>
        <w:div w:id="160577159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lifu</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wu</cp:lastModifiedBy>
  <cp:revision>2</cp:revision>
  <dcterms:created xsi:type="dcterms:W3CDTF">2019-04-30T08:21:00Z</dcterms:created>
  <dcterms:modified xsi:type="dcterms:W3CDTF">2019-04-30T08:21:00Z</dcterms:modified>
</cp:coreProperties>
</file>